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3.png" ContentType="image/png"/>
  <Override PartName="/word/media/rId38.gif" ContentType="image/gif"/>
  <Override PartName="/word/media/rId167.png" ContentType="image/png"/>
  <Override PartName="/word/media/rId48.png" ContentType="image/png"/>
  <Override PartName="/word/media/rId104.png" ContentType="image/png"/>
  <Override PartName="/word/media/rId114.png" ContentType="image/png"/>
  <Override PartName="/word/media/rId110.png" ContentType="image/png"/>
  <Override PartName="/word/media/rId118.png" ContentType="image/png"/>
  <Override PartName="/word/media/rId53.png" ContentType="image/png"/>
  <Override PartName="/word/media/rId57.png" ContentType="image/png"/>
  <Override PartName="/word/media/rId123.png" ContentType="image/png"/>
  <Override PartName="/word/media/rId127.png" ContentType="image/png"/>
  <Override PartName="/word/media/rId131.png" ContentType="image/png"/>
  <Override PartName="/word/media/rId203.png" ContentType="image/png"/>
  <Override PartName="/word/media/rId207.png" ContentType="image/png"/>
  <Override PartName="/word/media/rId157.png" ContentType="image/png"/>
  <Override PartName="/word/media/rId145.png" ContentType="image/png"/>
  <Override PartName="/word/media/rId95.png" ContentType="image/png"/>
  <Override PartName="/word/media/rId195.png" ContentType="image/png"/>
  <Override PartName="/word/media/rId191.png" ContentType="image/png"/>
  <Override PartName="/word/media/rId79.png" ContentType="image/png"/>
  <Override PartName="/word/media/rId174.png" ContentType="image/png"/>
  <Override PartName="/word/media/rId178.png" ContentType="image/png"/>
  <Override PartName="/word/media/rId99.png" ContentType="image/png"/>
  <Override PartName="/word/media/rId91.png" ContentType="image/png"/>
  <Override PartName="/word/media/rId87.png" ContentType="image/png"/>
  <Override PartName="/word/media/rId83.png" ContentType="image/png"/>
  <Override PartName="/word/media/rId66.png" ContentType="image/png"/>
  <Override PartName="/word/media/rId62.png" ContentType="image/png"/>
  <Override PartName="/word/media/rId70.png" ContentType="image/png"/>
  <Override PartName="/word/media/rId74.png" ContentType="image/png"/>
  <Override PartName="/word/media/rId211.png" ContentType="image/png"/>
  <Override PartName="/word/media/rId43.png" ContentType="image/png"/>
  <Override PartName="/word/media/rId25.png" ContentType="image/png"/>
  <Override PartName="/word/media/rId29.png" ContentType="image/png"/>
  <Override PartName="/word/media/rId186.png" ContentType="image/png"/>
  <Override PartName="/word/media/rId137.png" ContentType="image/png"/>
  <Override PartName="/word/media/rId141.png" ContentType="image/png"/>
  <Override PartName="/word/media/rId199.png" ContentType="image/png"/>
  <Override PartName="/word/media/rId153.png" ContentType="image/png"/>
  <Override PartName="/word/media/rId149.png" ContentType="image/png"/>
  <Override PartName="/word/media/rId182.png" ContentType="image/png"/>
  <Override PartName="/word/media/rId34.png" ContentType="image/png"/>
  <Override PartName="/word/media/rId216.png" ContentType="image/png"/>
  <Override PartName="/word/media/rId220.png" ContentType="image/png"/>
  <Override PartName="/word/media/rId2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Based on our</w:t>
      </w:r>
      <w:r>
        <w:t xml:space="preserve"> </w:t>
      </w:r>
      <w:r>
        <w:t xml:space="preserve">analysis which shows that estimates appear reasonable, we caution about the application</w:t>
      </w:r>
      <w:r>
        <w:t xml:space="preserve"> </w:t>
      </w:r>
      <w:r>
        <w:t xml:space="preserve">for management settings. This is because for EBS pollock, the SRR is heavily influenced by</w:t>
      </w:r>
      <w:r>
        <w:t xml:space="preserve"> </w:t>
      </w:r>
      <w:r>
        <w:t xml:space="preserve">data to the right of</w:t>
      </w:r>
      <w:r>
        <w:t xml:space="preserve"> </w:t>
      </w:r>
      <m:oMath>
        <m:sSub>
          <m:e>
            <m:r>
              <m:t>B</m:t>
            </m:r>
          </m:e>
          <m:sub>
            <m:r>
              <m:t>M</m:t>
            </m:r>
            <m:r>
              <m:t>S</m:t>
            </m:r>
            <m:r>
              <m:t>Y</m:t>
            </m:r>
          </m:sub>
        </m:sSub>
      </m:oMath>
      <w:r>
        <w:t xml:space="preserve"> </w:t>
      </w:r>
      <w:r>
        <w:t xml:space="preserve">instead of nearer the origin (where measures of</w:t>
      </w:r>
      <w:r>
        <w:t xml:space="preserve"> </w:t>
      </w:r>
      <w:r>
        <w:t xml:space="preserve">“</w:t>
      </w:r>
      <w:r>
        <w:t xml:space="preserve">steepness</w:t>
      </w:r>
      <w:r>
        <w:t xml:space="preserve">”</w:t>
      </w:r>
      <w:r>
        <w:t xml:space="preserve"> </w:t>
      </w:r>
      <w:r>
        <w:t xml:space="preserve">might most reliably be estimated). We show that the SRR is thus linked to the Tier 1</w:t>
      </w:r>
      <w:r>
        <w:t xml:space="preserve"> </w:t>
      </w:r>
      <w:r>
        <w:t xml:space="preserve">fishing mortality recommendation in two ways: 1) by the 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 by having most of the data</w:t>
      </w:r>
      <w:r>
        <w:t xml:space="preserve"> </w:t>
      </w:r>
      <w:r>
        <w:t xml:space="preserve">far from the origin and hence having steepness affected observations that are distant from</w:t>
      </w:r>
      <w:r>
        <w:t xml:space="preserve"> </w:t>
      </w:r>
      <w:r>
        <w:t xml:space="preserve">the origin. We provided an illustration of this in an external simulation. In the 2023</w:t>
      </w:r>
      <w:r>
        <w:t xml:space="preserve"> </w:t>
      </w:r>
      <w:r>
        <w:t xml:space="preserve">assessment,</w:t>
      </w:r>
      <w:r>
        <w:t xml:space="preserve"> </w:t>
      </w:r>
      <m:oMath>
        <m:sSub>
          <m:e>
            <m:r>
              <m:t>σ</m:t>
            </m:r>
          </m:e>
          <m:sub>
            <m:r>
              <m:t>R</m:t>
            </m:r>
          </m:sub>
        </m:sSub>
      </m:oMath>
      <w:r>
        <w:t xml:space="preserve"> </w:t>
      </w:r>
      <w:r>
        <w:t xml:space="preserve">was specified at 1.0 as a precautionary measure and seek guidance</w:t>
      </w:r>
      <w:r>
        <w:t xml:space="preserve"> </w:t>
      </w:r>
      <w:r>
        <w:t xml:space="preserve">on best practice given the direct management implication under Tier 1.</w:t>
      </w:r>
    </w:p>
    <w:p>
      <w:pPr>
        <w:pStyle w:val="BodyText"/>
      </w:pPr>
      <w:r>
        <w:t xml:space="preserve">Incorporating the natural mortality at age and year from CEATTLE had a modest impact on</w:t>
      </w:r>
      <w:r>
        <w:t xml:space="preserve"> </w:t>
      </w:r>
      <w:r>
        <w:t xml:space="preserve">the SRR because the recruitment scales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have some aspect of</w:t>
      </w:r>
      <w:r>
        <w:t xml:space="preserve"> </w:t>
      </w:r>
      <w:r>
        <w:t xml:space="preserve">the role pollock plays in the ecosystem. We contrast that with historical patterns of</w:t>
      </w:r>
      <w:r>
        <w:t xml:space="preserve"> </w:t>
      </w:r>
      <w:r>
        <w:t xml:space="preserve">catch. Additionally, we consider multi-species mass-balance projections under scenarios</w:t>
      </w:r>
      <w:r>
        <w:t xml:space="preserve"> </w:t>
      </w:r>
      <w:r>
        <w:t xml:space="preserve">where catch projections closer to the maximum permissible are used. This was done using</w:t>
      </w:r>
      <w:r>
        <w:t xml:space="preserve"> </w:t>
      </w:r>
      <w:r>
        <w:t xml:space="preserve">“</w:t>
      </w:r>
      <w:r>
        <w:t xml:space="preserve">ecosense</w:t>
      </w:r>
      <w:r>
        <w:t xml:space="preserve">”</w:t>
      </w:r>
      <w:r>
        <w:t xml:space="preserve"> </w:t>
      </w:r>
      <w:r>
        <w:t xml:space="preserve">within the package Rpath (courtesy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also investigated that in this report</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have been clear about projection assumptions used for selectivity and will</w:t>
      </w:r>
      <w:r>
        <w:rPr>
          <w:i/>
          <w:iCs/>
        </w:rPr>
        <w:t xml:space="preserve"> </w:t>
      </w:r>
      <w:r>
        <w:rPr>
          <w:i/>
          <w:iCs/>
        </w:rPr>
        <w:t xml:space="preserve">provide an updated retrospective presentation for this year’s assessment. In this</w:t>
      </w:r>
      <w:r>
        <w:rPr>
          <w:i/>
          <w:iCs/>
        </w:rPr>
        <w:t xml:space="preserve"> </w:t>
      </w:r>
      <w:r>
        <w:rPr>
          <w:i/>
          <w:iCs/>
        </w:rPr>
        <w:t xml:space="preserve">report, we evaluated the sensitivity of Tier 1 ABC given different selectivity</w:t>
      </w:r>
      <w:r>
        <w:rPr>
          <w:i/>
          <w:iCs/>
        </w:rPr>
        <w:t xml:space="preserve"> </w:t>
      </w:r>
      <w:r>
        <w:rPr>
          <w:i/>
          <w:iCs/>
        </w:rPr>
        <w:t xml:space="preserve">estimtates from historical annual values.</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09"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w:t>
      </w:r>
      <w:r>
        <w:t xml:space="preserve"> </w:t>
      </w:r>
      <w:r>
        <w:t xml:space="preserve">To consider the variability of the SRR estimates due to additional years of</w:t>
      </w:r>
      <w:r>
        <w:t xml:space="preserve"> </w:t>
      </w:r>
      <w:r>
        <w:t xml:space="preserve">data, we changed the window of years used within the assessment model.</w:t>
      </w:r>
      <w:r>
        <w:t xml:space="preserve"> </w:t>
      </w:r>
      <w:r>
        <w:t xml:space="preserve">Results showed given the prior and other assumptions, the SRR estimates</w:t>
      </w:r>
      <w:r>
        <w:t xml:space="preserve"> </w:t>
      </w:r>
      <w:r>
        <w:t xml:space="preserve">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As part of the review of different approaches for modeling the stock-recruit relationship,</w:t>
      </w:r>
      <w:r>
        <w:t xml:space="preserve"> </w:t>
      </w:r>
      <w:r>
        <w:t xml:space="preserve">we compared last year’s model with different forms, priors, and periods using the</w:t>
      </w:r>
      <w:r>
        <w:t xml:space="preserve"> </w:t>
      </w:r>
      <w:r>
        <w:t xml:space="preserve">Beverton-Holt curve. The shorter and longer periods with the Beverton-Holt curve (using</w:t>
      </w:r>
      <w:r>
        <w:t xml:space="preserve"> </w:t>
      </w:r>
      <w:r>
        <w:t xml:space="preserve">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8"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(and a candidate</w:t>
      </w:r>
      <w:r>
        <w:t xml:space="preserve"> </w:t>
      </w:r>
      <w:r>
        <w:t xml:space="preserve">“</w:t>
      </w:r>
      <w:r>
        <w:t xml:space="preserve">Tier 1.5</w:t>
      </w:r>
      <w:r>
        <w:t xml:space="preserve">”</w:t>
      </w:r>
      <w:r>
        <w:t xml:space="preserve"> </w:t>
      </w:r>
      <w:r>
        <w:t xml:space="preserve">from an earlier assessment) but that Tier 3 is relatively insensitive. The value of</w:t>
      </w:r>
      <w:r>
        <w:t xml:space="preserve"> </w:t>
      </w:r>
      <m:oMath>
        <m:sSub>
          <m:e>
            <m:r>
              <m:t>σ</m:t>
            </m:r>
          </m:e>
          <m:sub>
            <m:r>
              <m:t>R</m:t>
            </m:r>
          </m:sub>
        </m:sSub>
      </m:oMath>
      <w:r>
        <w:t xml:space="preserve"> </w:t>
      </w:r>
      <w:r>
        <w:t xml:space="preserve">affects the shape of the curve as well (</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sigmRplot1"/>
          <w:p>
            <w:pPr>
              <w:pStyle w:val="Compact"/>
              <w:jc w:val="center"/>
            </w:pPr>
            <w:r>
              <w:drawing>
                <wp:inline>
                  <wp:extent cx="5334000" cy="4267200"/>
                  <wp:effectExtent b="0" l="0" r="0" t="0"/>
                  <wp:docPr descr="" title="" id="63" name="Picture"/>
                  <a:graphic>
                    <a:graphicData uri="http://schemas.openxmlformats.org/drawingml/2006/picture">
                      <pic:pic>
                        <pic:nvPicPr>
                          <pic:cNvPr descr="sept_files/figure-docx/fig-sigmRplot1-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fig-sigmR_abc"/>
          <w:p>
            <w:pPr>
              <w:pStyle w:val="Compact"/>
              <w:jc w:val="center"/>
            </w:pPr>
            <w:r>
              <w:drawing>
                <wp:inline>
                  <wp:extent cx="5334000" cy="4267200"/>
                  <wp:effectExtent b="0" l="0" r="0" t="0"/>
                  <wp:docPr descr="" title="" id="67" name="Picture"/>
                  <a:graphic>
                    <a:graphicData uri="http://schemas.openxmlformats.org/drawingml/2006/picture">
                      <pic:pic>
                        <pic:nvPicPr>
                          <pic:cNvPr descr="sept_files/figure-docx/fig-sigmR_abc-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69"/>
        </w:tc>
      </w:tr>
    </w:tbl>
    <w:tbl>
      <w:tblPr>
        <w:tblStyle w:val="Table"/>
        <w:tblW w:type="pct" w:w="5000"/>
        <w:tblLayout w:type="fixed"/>
        <w:tblLook w:firstRow="0" w:lastRow="0" w:firstColumn="0" w:lastColumn="0" w:noHBand="0" w:noVBand="0" w:val="0000"/>
      </w:tblPr>
      <w:tblGrid>
        <w:gridCol w:w="7920"/>
      </w:tblGrid>
      <w:tr>
        <w:tc>
          <w:tcPr/>
          <w:bookmarkStart w:id="73" w:name="fig-sigrplot1"/>
          <w:p>
            <w:pPr>
              <w:pStyle w:val="Compact"/>
              <w:jc w:val="center"/>
            </w:pPr>
            <w:r>
              <w:drawing>
                <wp:inline>
                  <wp:extent cx="5334000" cy="4267200"/>
                  <wp:effectExtent b="0" l="0" r="0" t="0"/>
                  <wp:docPr descr="" title="" id="71" name="Picture"/>
                  <a:graphic>
                    <a:graphicData uri="http://schemas.openxmlformats.org/drawingml/2006/picture">
                      <pic:pic>
                        <pic:nvPicPr>
                          <pic:cNvPr descr="sept_files/figure-docx/fig-sigrplot1-1.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3"/>
        </w:tc>
      </w:tr>
    </w:tbl>
    <w:tbl>
      <w:tblPr>
        <w:tblStyle w:val="Table"/>
        <w:tblW w:type="pct" w:w="5000"/>
        <w:tblLayout w:type="fixed"/>
        <w:tblLook w:firstRow="0" w:lastRow="0" w:firstColumn="0" w:lastColumn="0" w:noHBand="0" w:noVBand="0" w:val="0000"/>
      </w:tblPr>
      <w:tblGrid>
        <w:gridCol w:w="7920"/>
      </w:tblGrid>
      <w:tr>
        <w:tc>
          <w:tcPr/>
          <w:bookmarkStart w:id="77" w:name="fig-sigrplot2"/>
          <w:p>
            <w:pPr>
              <w:pStyle w:val="Compact"/>
              <w:jc w:val="center"/>
            </w:pPr>
            <w:r>
              <w:drawing>
                <wp:inline>
                  <wp:extent cx="5334000" cy="4267200"/>
                  <wp:effectExtent b="0" l="0" r="0" t="0"/>
                  <wp:docPr descr="" title="" id="75" name="Picture"/>
                  <a:graphic>
                    <a:graphicData uri="http://schemas.openxmlformats.org/drawingml/2006/picture">
                      <pic:pic>
                        <pic:nvPicPr>
                          <pic:cNvPr descr="sept_files/figure-docx/fig-sigrplot2-1.png" id="76"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7"/>
        </w:tc>
      </w:tr>
    </w:tbl>
    <w:bookmarkEnd w:id="78"/>
    <w:bookmarkStart w:id="103"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 at age is assumed</w:t>
      </w:r>
      <w:r>
        <w:t xml:space="preserve"> </w:t>
      </w:r>
      <w:r>
        <w:t xml:space="preserve">known precisely. The resulting selectivity patterns are shown in</w:t>
      </w:r>
      <w:r>
        <w:t xml:space="preserve"> </w:t>
      </w:r>
      <w:hyperlink w:anchor="fig-selex">
        <w:r>
          <w:rPr>
            <w:rStyle w:val="Hyperlink"/>
          </w:rPr>
          <w:t xml:space="preserve">Figure 13</w:t>
        </w:r>
      </w:hyperlink>
      <w:r>
        <w:t xml:space="preserve">. Results</w:t>
      </w:r>
      <w:r>
        <w:t xml:space="preserve"> </w:t>
      </w:r>
      <w:r>
        <w:t xml:space="preserve">showed that very little difference between a freely specified selectivity model</w:t>
      </w:r>
      <w:r>
        <w:t xml:space="preserve"> </w:t>
      </w:r>
      <w:r>
        <w:t xml:space="preserve">(</w:t>
      </w:r>
      <w:hyperlink w:anchor="fig-separable_ssb_r_vpa">
        <w:r>
          <w:rPr>
            <w:rStyle w:val="Hyperlink"/>
          </w:rPr>
          <w:t xml:space="preserve">Figure 14</w:t>
        </w:r>
      </w:hyperlink>
      <w:r>
        <w:t xml:space="preserve">) Results comparing the constrained selectivity differed</w:t>
      </w:r>
      <w:r>
        <w:t xml:space="preserve"> </w:t>
      </w:r>
      <w:r>
        <w:t xml:space="preserve">substantially from last year’s configuration (</w:t>
      </w:r>
      <w:hyperlink w:anchor="fig-separable_ssb_r">
        <w:r>
          <w:rPr>
            <w:rStyle w:val="Hyperlink"/>
          </w:rPr>
          <w:t xml:space="preserve">Figure 15</w:t>
        </w:r>
      </w:hyperlink>
      <w:r>
        <w:t xml:space="preserve">).</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dipicts the different</w:t>
      </w:r>
      <w:r>
        <w:t xml:space="preserve"> </w:t>
      </w:r>
      <w:r>
        <w:t xml:space="preserve">magnitude of the recent recruitment and an 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w:t>
      </w:r>
    </w:p>
    <w:tbl>
      <w:tblPr>
        <w:tblStyle w:val="Table"/>
        <w:tblW w:type="pct" w:w="5000"/>
        <w:tblLayout w:type="fixed"/>
        <w:tblLook w:firstRow="0" w:lastRow="0" w:firstColumn="0" w:lastColumn="0" w:noHBand="0" w:noVBand="0" w:val="0000"/>
      </w:tblPr>
      <w:tblGrid>
        <w:gridCol w:w="7920"/>
      </w:tblGrid>
      <w:tr>
        <w:tc>
          <w:tcPr/>
          <w:bookmarkStart w:id="82" w:name="fig-selex"/>
          <w:p>
            <w:pPr>
              <w:pStyle w:val="Compact"/>
              <w:jc w:val="center"/>
            </w:pPr>
            <w:r>
              <w:drawing>
                <wp:inline>
                  <wp:extent cx="5334000" cy="6667500"/>
                  <wp:effectExtent b="0" l="0" r="0" t="0"/>
                  <wp:docPr descr="" title="" id="80" name="Picture"/>
                  <a:graphic>
                    <a:graphicData uri="http://schemas.openxmlformats.org/drawingml/2006/picture">
                      <pic:pic>
                        <pic:nvPicPr>
                          <pic:cNvPr descr="sept_files/figure-docx/fig-selex-1.png" id="81" name="Picture"/>
                          <pic:cNvPicPr>
                            <a:picLocks noChangeArrowheads="1" noChangeAspect="1"/>
                          </pic:cNvPicPr>
                        </pic:nvPicPr>
                        <pic:blipFill>
                          <a:blip r:embed="rId79"/>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2"/>
        </w:tc>
      </w:tr>
    </w:tbl>
    <w:tbl>
      <w:tblPr>
        <w:tblStyle w:val="Table"/>
        <w:tblW w:type="pct" w:w="5000"/>
        <w:tblLayout w:type="fixed"/>
        <w:tblLook w:firstRow="0" w:lastRow="0" w:firstColumn="0" w:lastColumn="0" w:noHBand="0" w:noVBand="0" w:val="0000"/>
      </w:tblPr>
      <w:tblGrid>
        <w:gridCol w:w="7920"/>
      </w:tblGrid>
      <w:tr>
        <w:tc>
          <w:tcPr/>
          <w:bookmarkStart w:id="86" w:name="fig-separable_ssb_r_vpa"/>
          <w:p>
            <w:pPr>
              <w:pStyle w:val="Compact"/>
              <w:jc w:val="center"/>
            </w:pPr>
            <w:r>
              <w:drawing>
                <wp:inline>
                  <wp:extent cx="5334000" cy="6667500"/>
                  <wp:effectExtent b="0" l="0" r="0" t="0"/>
                  <wp:docPr descr="" title="" id="84" name="Picture"/>
                  <a:graphic>
                    <a:graphicData uri="http://schemas.openxmlformats.org/drawingml/2006/picture">
                      <pic:pic>
                        <pic:nvPicPr>
                          <pic:cNvPr descr="sept_files/figure-docx/fig-separable_ssb_r_vpa-1.png" id="85" name="Picture"/>
                          <pic:cNvPicPr>
                            <a:picLocks noChangeArrowheads="1" noChangeAspect="1"/>
                          </pic:cNvPicPr>
                        </pic:nvPicPr>
                        <pic:blipFill>
                          <a:blip r:embed="rId83"/>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6"/>
        </w:tc>
      </w:tr>
    </w:tbl>
    <w:tbl>
      <w:tblPr>
        <w:tblStyle w:val="Table"/>
        <w:tblW w:type="pct" w:w="5000"/>
        <w:tblLayout w:type="fixed"/>
        <w:tblLook w:firstRow="0" w:lastRow="0" w:firstColumn="0" w:lastColumn="0" w:noHBand="0" w:noVBand="0" w:val="0000"/>
      </w:tblPr>
      <w:tblGrid>
        <w:gridCol w:w="7920"/>
      </w:tblGrid>
      <w:tr>
        <w:tc>
          <w:tcPr/>
          <w:bookmarkStart w:id="90" w:name="fig-separable_ssb_r"/>
          <w:p>
            <w:pPr>
              <w:pStyle w:val="Compact"/>
              <w:jc w:val="center"/>
            </w:pPr>
            <w:r>
              <w:drawing>
                <wp:inline>
                  <wp:extent cx="5334000" cy="6667500"/>
                  <wp:effectExtent b="0" l="0" r="0" t="0"/>
                  <wp:docPr descr="" title="" id="88" name="Picture"/>
                  <a:graphic>
                    <a:graphicData uri="http://schemas.openxmlformats.org/drawingml/2006/picture">
                      <pic:pic>
                        <pic:nvPicPr>
                          <pic:cNvPr descr="sept_files/figure-docx/fig-separable_ssb_r-1.png" id="89" name="Picture"/>
                          <pic:cNvPicPr>
                            <a:picLocks noChangeArrowheads="1" noChangeAspect="1"/>
                          </pic:cNvPicPr>
                        </pic:nvPicPr>
                        <pic:blipFill>
                          <a:blip r:embed="rId87"/>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0"/>
        </w:tc>
      </w:tr>
    </w:tbl>
    <w:tbl>
      <w:tblPr>
        <w:tblStyle w:val="Table"/>
        <w:tblW w:type="pct" w:w="5000"/>
        <w:tblLayout w:type="fixed"/>
        <w:tblLook w:firstRow="0" w:lastRow="0" w:firstColumn="0" w:lastColumn="0" w:noHBand="0" w:noVBand="0" w:val="0000"/>
      </w:tblPr>
      <w:tblGrid>
        <w:gridCol w:w="7920"/>
      </w:tblGrid>
      <w:tr>
        <w:tc>
          <w:tcPr/>
          <w:bookmarkStart w:id="94" w:name="fig-separable_srr"/>
          <w:p>
            <w:pPr>
              <w:pStyle w:val="Compact"/>
              <w:jc w:val="center"/>
            </w:pPr>
            <w:r>
              <w:drawing>
                <wp:inline>
                  <wp:extent cx="5334000" cy="4267200"/>
                  <wp:effectExtent b="0" l="0" r="0" t="0"/>
                  <wp:docPr descr="" title="" id="92" name="Picture"/>
                  <a:graphic>
                    <a:graphicData uri="http://schemas.openxmlformats.org/drawingml/2006/picture">
                      <pic:pic>
                        <pic:nvPicPr>
                          <pic:cNvPr descr="sept_files/figure-docx/fig-separable_srr-1.png" id="93"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4"/>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w:t>
      </w:r>
      <w:r>
        <w:t xml:space="preserve"> </w:t>
      </w:r>
      <w:r>
        <w:t xml:space="preserve">and for the number of years over which an average selection pattern could be 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w:t>
      </w:r>
      <w:r>
        <w:t xml:space="preserve"> </w:t>
      </w:r>
      <w:r>
        <w:t xml:space="preserve">presumably due to the fact that the selectivity changes can shift to younger or older ages in some years.</w:t>
      </w:r>
      <w:r>
        <w:t xml:space="preserve"> </w:t>
      </w:r>
      <w:r>
        <w:t xml:space="preserve">However, the SRR curve was insensitive to the selectivity estimate (</w:t>
      </w:r>
      <w:hyperlink w:anchor="fig-selsrrplot">
        <w:r>
          <w:rPr>
            <w:rStyle w:val="Hyperlink"/>
          </w:rPr>
          <w:t xml:space="preserve">Figure 18</w:t>
        </w:r>
      </w:hyperlink>
      <w:r>
        <w:t xml:space="preserve">) because</w:t>
      </w:r>
      <w:r>
        <w:t xml:space="preserve"> </w:t>
      </w:r>
      <w:r>
        <w:t xml:space="preserve">the future selectivity pattern is separate from the SRR estimation.</w:t>
      </w:r>
    </w:p>
    <w:tbl>
      <w:tblPr>
        <w:tblStyle w:val="Table"/>
        <w:tblW w:type="pct" w:w="5000"/>
        <w:tblLayout w:type="fixed"/>
        <w:tblLook w:firstRow="0" w:lastRow="0" w:firstColumn="0" w:lastColumn="0" w:noHBand="0" w:noVBand="0" w:val="0000"/>
      </w:tblPr>
      <w:tblGrid>
        <w:gridCol w:w="7920"/>
      </w:tblGrid>
      <w:tr>
        <w:tc>
          <w:tcPr/>
          <w:bookmarkStart w:id="98" w:name="fig-sel_ABC_plot"/>
          <w:p>
            <w:pPr>
              <w:pStyle w:val="Compact"/>
              <w:jc w:val="center"/>
            </w:pPr>
            <w:r>
              <w:drawing>
                <wp:inline>
                  <wp:extent cx="5334000" cy="4267200"/>
                  <wp:effectExtent b="0" l="0" r="0" t="0"/>
                  <wp:docPr descr="" title="" id="96" name="Picture"/>
                  <a:graphic>
                    <a:graphicData uri="http://schemas.openxmlformats.org/drawingml/2006/picture">
                      <pic:pic>
                        <pic:nvPicPr>
                          <pic:cNvPr descr="sept_files/figure-docx/fig-sel_ABC_plot-1.png" id="97"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8"/>
        </w:tc>
      </w:tr>
    </w:tbl>
    <w:tbl>
      <w:tblPr>
        <w:tblStyle w:val="Table"/>
        <w:tblW w:type="pct" w:w="5000"/>
        <w:tblLayout w:type="fixed"/>
        <w:tblLook w:firstRow="0" w:lastRow="0" w:firstColumn="0" w:lastColumn="0" w:noHBand="0" w:noVBand="0" w:val="0000"/>
      </w:tblPr>
      <w:tblGrid>
        <w:gridCol w:w="7920"/>
      </w:tblGrid>
      <w:tr>
        <w:tc>
          <w:tcPr/>
          <w:bookmarkStart w:id="102" w:name="fig-selsrrplot"/>
          <w:p>
            <w:pPr>
              <w:pStyle w:val="Compact"/>
              <w:jc w:val="center"/>
            </w:pPr>
            <w:r>
              <w:drawing>
                <wp:inline>
                  <wp:extent cx="5334000" cy="4267200"/>
                  <wp:effectExtent b="0" l="0" r="0" t="0"/>
                  <wp:docPr descr="" title="" id="100" name="Picture"/>
                  <a:graphic>
                    <a:graphicData uri="http://schemas.openxmlformats.org/drawingml/2006/picture">
                      <pic:pic>
                        <pic:nvPicPr>
                          <pic:cNvPr descr="sept_files/figure-docx/fig-selsrrplot-1.png" id="101"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2"/>
        </w:tc>
      </w:tr>
    </w:tbl>
    <w:bookmarkEnd w:id="103"/>
    <w:bookmarkStart w:id="108"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7" w:name="fig-F35"/>
          <w:p>
            <w:pPr>
              <w:pStyle w:val="Compact"/>
              <w:jc w:val="center"/>
            </w:pPr>
            <w:r>
              <w:drawing>
                <wp:inline>
                  <wp:extent cx="5334000" cy="4267200"/>
                  <wp:effectExtent b="0" l="0" r="0" t="0"/>
                  <wp:docPr descr="" title="" id="105" name="Picture"/>
                  <a:graphic>
                    <a:graphicData uri="http://schemas.openxmlformats.org/drawingml/2006/picture">
                      <pic:pic>
                        <pic:nvPicPr>
                          <pic:cNvPr descr="sept_files/figure-docx/fig-F35-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the the SPR rate of</w:t>
            </w:r>
            <w:r>
              <w:t xml:space="preserve"> </w:t>
            </w:r>
            <m:oMath>
              <m:sSub>
                <m:e>
                  <m:r>
                    <m:t>F</m:t>
                  </m:r>
                </m:e>
                <m:sub>
                  <m:r>
                    <m:t>35</m:t>
                  </m:r>
                </m:sub>
              </m:sSub>
            </m:oMath>
            <w:r>
              <w:t xml:space="preserve">. The vertical bars represent the 95% confidence intervals for the age-1 recruitment.</w:t>
            </w:r>
          </w:p>
          <w:bookmarkEnd w:id="107"/>
        </w:tc>
      </w:tr>
    </w:tbl>
    <w:bookmarkEnd w:id="108"/>
    <w:bookmarkEnd w:id="109"/>
    <w:bookmarkStart w:id="122" w:name="X52032a09f68bf439622704707d1342817ba75b6"/>
    <w:p>
      <w:pPr>
        <w:pStyle w:val="Heading1"/>
      </w:pPr>
      <w:r>
        <w:t xml:space="preserve">Incorporating natural mortality age arising from CEATTLE</w:t>
      </w:r>
    </w:p>
    <w:p>
      <w:pPr>
        <w:pStyle w:val="FirstParagraph"/>
      </w:pPr>
      <w:r>
        <w:t xml:space="preserve">In past assessments we have mentioned that a commonly adopted approach for stocks that are</w:t>
      </w:r>
      <w:r>
        <w:t xml:space="preserve"> </w:t>
      </w:r>
      <w:r>
        <w:t xml:space="preserve">also included in multispecies trophic interaction models (</w:t>
      </w:r>
      <w:r>
        <w:t xml:space="preserve">Trijoulet, Fay, and Miller (2020)</w:t>
      </w:r>
      <w:r>
        <w:t xml:space="preserve">) it is considered</w:t>
      </w:r>
      <w:r>
        <w:t xml:space="preserve"> </w:t>
      </w:r>
      <w:r>
        <w:t xml:space="preserve">best practice to include the estimates of natural mortality-at-age over time within the</w:t>
      </w:r>
      <w:r>
        <w:t xml:space="preserve"> </w:t>
      </w:r>
      <w:r>
        <w:t xml:space="preserve">assessment model. We developed an option to include the 2023 CEATTLE estimates of natural</w:t>
      </w:r>
      <w:r>
        <w:t xml:space="preserve"> </w:t>
      </w:r>
      <w:r>
        <w:t xml:space="preserve">mortality (</w:t>
      </w:r>
      <w:hyperlink w:anchor="fig-Mmatrix_matrix">
        <w:r>
          <w:rPr>
            <w:rStyle w:val="Hyperlink"/>
          </w:rPr>
          <w:t xml:space="preserve">Figure 20</w:t>
        </w:r>
      </w:hyperlink>
      <w:r>
        <w:t xml:space="preserve">). This resulted slightly higher recruitment but lower</w:t>
      </w:r>
      <w:r>
        <w:t xml:space="preserve"> </w:t>
      </w:r>
      <w:r>
        <w:t xml:space="preserve">spawning biomass in the near term (</w:t>
      </w:r>
      <w:hyperlink w:anchor="fig-Mmatrix">
        <w:r>
          <w:rPr>
            <w:rStyle w:val="Hyperlink"/>
          </w:rPr>
          <w:t xml:space="preserve">Figure 21</w:t>
        </w:r>
      </w:hyperlink>
      <w:r>
        <w:t xml:space="preserve">). This is due to the higher natural</w:t>
      </w:r>
      <w:r>
        <w:t xml:space="preserve"> </w:t>
      </w:r>
      <w:r>
        <w:t xml:space="preserve">mortality for most ages and years compared to the base 2023 model.</w:t>
      </w:r>
    </w:p>
    <w:tbl>
      <w:tblPr>
        <w:tblStyle w:val="Table"/>
        <w:tblW w:type="pct" w:w="5000"/>
        <w:tblLayout w:type="fixed"/>
        <w:tblLook w:firstRow="0" w:lastRow="0" w:firstColumn="0" w:lastColumn="0" w:noHBand="0" w:noVBand="0" w:val="0000"/>
      </w:tblPr>
      <w:tblGrid>
        <w:gridCol w:w="7920"/>
      </w:tblGrid>
      <w:tr>
        <w:tc>
          <w:tcPr/>
          <w:bookmarkStart w:id="113" w:name="fig-Mmatrix_matrix"/>
          <w:p>
            <w:pPr>
              <w:pStyle w:val="Compact"/>
              <w:jc w:val="center"/>
            </w:pPr>
            <w:r>
              <w:drawing>
                <wp:inline>
                  <wp:extent cx="5334000" cy="4267200"/>
                  <wp:effectExtent b="0" l="0" r="0" t="0"/>
                  <wp:docPr descr="" title="" id="111" name="Picture"/>
                  <a:graphic>
                    <a:graphicData uri="http://schemas.openxmlformats.org/drawingml/2006/picture">
                      <pic:pic>
                        <pic:nvPicPr>
                          <pic:cNvPr descr="sept_files/figure-docx/fig-Mmatrix_matrix-1.png" id="112" name="Picture"/>
                          <pic:cNvPicPr>
                            <a:picLocks noChangeArrowheads="1" noChangeAspect="1"/>
                          </pic:cNvPicPr>
                        </pic:nvPicPr>
                        <pic:blipFill>
                          <a:blip r:embed="rId1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3"/>
        </w:tc>
      </w:tr>
    </w:tbl>
    <w:tbl>
      <w:tblPr>
        <w:tblStyle w:val="Table"/>
        <w:tblW w:type="pct" w:w="5000"/>
        <w:tblLayout w:type="fixed"/>
        <w:tblLook w:firstRow="0" w:lastRow="0" w:firstColumn="0" w:lastColumn="0" w:noHBand="0" w:noVBand="0" w:val="0000"/>
      </w:tblPr>
      <w:tblGrid>
        <w:gridCol w:w="7920"/>
      </w:tblGrid>
      <w:tr>
        <w:tc>
          <w:tcPr/>
          <w:bookmarkStart w:id="117" w:name="fig-Mmatrix"/>
          <w:p>
            <w:pPr>
              <w:pStyle w:val="Compact"/>
              <w:jc w:val="center"/>
            </w:pPr>
            <w:r>
              <w:drawing>
                <wp:inline>
                  <wp:extent cx="5334000" cy="4267200"/>
                  <wp:effectExtent b="0" l="0" r="0" t="0"/>
                  <wp:docPr descr="" title="" id="115" name="Picture"/>
                  <a:graphic>
                    <a:graphicData uri="http://schemas.openxmlformats.org/drawingml/2006/picture">
                      <pic:pic>
                        <pic:nvPicPr>
                          <pic:cNvPr descr="sept_files/figure-docx/fig-Mmatrix-1.png" id="116"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7"/>
        </w:tc>
      </w:tr>
    </w:tbl>
    <w:tbl>
      <w:tblPr>
        <w:tblStyle w:val="Table"/>
        <w:tblW w:type="pct" w:w="5000"/>
        <w:tblLayout w:type="fixed"/>
        <w:tblLook w:firstRow="0" w:lastRow="0" w:firstColumn="0" w:lastColumn="0" w:noHBand="0" w:noVBand="0" w:val="0000"/>
      </w:tblPr>
      <w:tblGrid>
        <w:gridCol w:w="7920"/>
      </w:tblGrid>
      <w:tr>
        <w:tc>
          <w:tcPr/>
          <w:bookmarkStart w:id="121" w:name="fig-Mmatrix_srr"/>
          <w:p>
            <w:pPr>
              <w:pStyle w:val="Compact"/>
              <w:jc w:val="center"/>
            </w:pPr>
            <w:r>
              <w:drawing>
                <wp:inline>
                  <wp:extent cx="5334000" cy="4267200"/>
                  <wp:effectExtent b="0" l="0" r="0" t="0"/>
                  <wp:docPr descr="" title="" id="119" name="Picture"/>
                  <a:graphic>
                    <a:graphicData uri="http://schemas.openxmlformats.org/drawingml/2006/picture">
                      <pic:pic>
                        <pic:nvPicPr>
                          <pic:cNvPr descr="sept_files/figure-docx/fig-Mmatrix_srr-1.png" id="12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1"/>
        </w:tc>
      </w:tr>
    </w:tbl>
    <w:bookmarkEnd w:id="122"/>
    <w:bookmarkStart w:id="135"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6" w:name="fig-dropCPUE"/>
          <w:p>
            <w:pPr>
              <w:pStyle w:val="Compact"/>
              <w:jc w:val="center"/>
            </w:pPr>
            <w:r>
              <w:drawing>
                <wp:inline>
                  <wp:extent cx="5334000" cy="4267200"/>
                  <wp:effectExtent b="0" l="0" r="0" t="0"/>
                  <wp:docPr descr="" title="" id="124" name="Picture"/>
                  <a:graphic>
                    <a:graphicData uri="http://schemas.openxmlformats.org/drawingml/2006/picture">
                      <pic:pic>
                        <pic:nvPicPr>
                          <pic:cNvPr descr="sept_files/figure-docx/fig-dropCPUE-1.png" id="125"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6"/>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p>
      <w:pPr>
        <w:pStyle w:val="SourceCode"/>
      </w:pPr>
      <w:r>
        <w:rPr>
          <w:rStyle w:val="VerbatimChar"/>
        </w:rPr>
        <w:t xml:space="preserve">&lt;ScaleContinuousPosition&gt;</w:t>
      </w:r>
      <w:r>
        <w:br/>
      </w:r>
      <w:r>
        <w:rPr>
          <w:rStyle w:val="VerbatimChar"/>
        </w:rPr>
        <w:t xml:space="preserve"> Range:  </w:t>
      </w:r>
      <w:r>
        <w:br/>
      </w:r>
      <w:r>
        <w:rPr>
          <w:rStyle w:val="VerbatimChar"/>
        </w:rPr>
        <w:t xml:space="preserve"> Limits:    0 --    1</w:t>
      </w:r>
    </w:p>
    <w:tbl>
      <w:tblPr>
        <w:tblStyle w:val="Table"/>
        <w:tblW w:type="pct" w:w="5000"/>
        <w:tblLayout w:type="fixed"/>
        <w:tblLook w:firstRow="0" w:lastRow="0" w:firstColumn="0" w:lastColumn="0" w:noHBand="0" w:noVBand="0" w:val="0000"/>
      </w:tblPr>
      <w:tblGrid>
        <w:gridCol w:w="7920"/>
      </w:tblGrid>
      <w:tr>
        <w:tc>
          <w:tcPr/>
          <w:bookmarkStart w:id="130" w:name="fig-dropForeign"/>
          <w:p>
            <w:pPr>
              <w:pStyle w:val="Compact"/>
              <w:jc w:val="center"/>
            </w:pPr>
            <w:r>
              <w:drawing>
                <wp:inline>
                  <wp:extent cx="5334000" cy="4267200"/>
                  <wp:effectExtent b="0" l="0" r="0" t="0"/>
                  <wp:docPr descr="" title="" id="128" name="Picture"/>
                  <a:graphic>
                    <a:graphicData uri="http://schemas.openxmlformats.org/drawingml/2006/picture">
                      <pic:pic>
                        <pic:nvPicPr>
                          <pic:cNvPr descr="sept_files/figure-docx/fig-dropForeign-1.png" id="129"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0"/>
        </w:tc>
      </w:tr>
    </w:tbl>
    <w:tbl>
      <w:tblPr>
        <w:tblStyle w:val="Table"/>
        <w:tblW w:type="pct" w:w="5000"/>
        <w:tblLayout w:type="fixed"/>
        <w:tblLook w:firstRow="0" w:lastRow="0" w:firstColumn="0" w:lastColumn="0" w:noHBand="0" w:noVBand="0" w:val="0000"/>
      </w:tblPr>
      <w:tblGrid>
        <w:gridCol w:w="7920"/>
      </w:tblGrid>
      <w:tr>
        <w:tc>
          <w:tcPr/>
          <w:bookmarkStart w:id="134" w:name="fig-dropForeign_srr"/>
          <w:p>
            <w:pPr>
              <w:pStyle w:val="Compact"/>
              <w:jc w:val="center"/>
            </w:pPr>
            <w:r>
              <w:drawing>
                <wp:inline>
                  <wp:extent cx="5334000" cy="4267200"/>
                  <wp:effectExtent b="0" l="0" r="0" t="0"/>
                  <wp:docPr descr="" title="" id="132" name="Picture"/>
                  <a:graphic>
                    <a:graphicData uri="http://schemas.openxmlformats.org/drawingml/2006/picture">
                      <pic:pic>
                        <pic:nvPicPr>
                          <pic:cNvPr descr="sept_files/figure-docx/fig-dropForeign_srr-1.png" id="133"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4"/>
        </w:tc>
      </w:tr>
    </w:tbl>
    <w:bookmarkEnd w:id="135"/>
    <w:bookmarkStart w:id="136"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 before it can be included in the</w:t>
      </w:r>
      <w:r>
        <w:t xml:space="preserve"> </w:t>
      </w:r>
      <w:r>
        <w:t xml:space="preserve">assessment.</w:t>
      </w:r>
    </w:p>
    <w:bookmarkEnd w:id="136"/>
    <w:bookmarkStart w:id="162" w:name="X6d193a4a74e1a0ba57ef428caca1022a0a29ea9"/>
    <w:p>
      <w:pPr>
        <w:pStyle w:val="Heading1"/>
      </w:pPr>
      <w:r>
        <w:t xml:space="preserve">Further considerations of pollock and ecosystem role</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w:t>
      </w:r>
      <w:r>
        <w:br/>
      </w:r>
      <w:r>
        <w:t xml:space="preserve">As an experiment, we conditioned the SRR curve to have the MSY value set to 1.75 and 1.3</w:t>
      </w:r>
      <w:r>
        <w:t xml:space="preserve"> </w:t>
      </w:r>
      <w:r>
        <w:t xml:space="preserve">million t. We then compared those curves with the 2023 model specificaitons</w:t>
      </w:r>
      <w:r>
        <w:t xml:space="preserve"> </w:t>
      </w:r>
      <w:r>
        <w:t xml:space="preserve">(</w:t>
      </w:r>
      <w:hyperlink w:anchor="fig-srrplot_cond">
        <w:r>
          <w:rPr>
            <w:rStyle w:val="Hyperlink"/>
          </w:rPr>
          <w:t xml:space="preserve">Figure 26</w:t>
        </w:r>
      </w:hyperlink>
      <w:r>
        <w:t xml:space="preserve">). When overplotted, the fit comparisons indicate somewhat worse fit to</w:t>
      </w:r>
      <w:r>
        <w:t xml:space="preserve"> </w:t>
      </w:r>
      <w:r>
        <w:t xml:space="preserve">the available years of data (post 1977;</w:t>
      </w:r>
      <w:r>
        <w:t xml:space="preserve"> </w:t>
      </w:r>
      <w:hyperlink w:anchor="fig-srrplot_cond2">
        <w:r>
          <w:rPr>
            <w:rStyle w:val="Hyperlink"/>
          </w:rPr>
          <w:t xml:space="preserve">Figure 27</w:t>
        </w:r>
      </w:hyperlink>
      <w:r>
        <w:t xml:space="preserve">) but reasonable within the</w:t>
      </w:r>
      <w:r>
        <w:t xml:space="preserve"> </w:t>
      </w:r>
      <w:r>
        <w:t xml:space="preserve">estimates of uncertainty. Here we conclude that the management advice (under Tier 1) is</w:t>
      </w:r>
      <w:r>
        <w:t xml:space="preserve"> </w:t>
      </w:r>
      <w:r>
        <w:t xml:space="preserve">sensitive to relatively small apparent perturbations in the shape of the stock-recruitment</w:t>
      </w:r>
      <w:r>
        <w:t xml:space="preserve"> </w:t>
      </w:r>
      <w:r>
        <w:t xml:space="preserve">curves. Such sensitivity is expected given the sections above. Furthermore, we know that</w:t>
      </w:r>
      <w:r>
        <w:t xml:space="preserve"> </w:t>
      </w:r>
      <w:r>
        <w:t xml:space="preserve">non-stationarity in the SRR is likely, especially given the uncertainties of climate</w:t>
      </w:r>
      <w:r>
        <w:t xml:space="preserve"> </w:t>
      </w:r>
      <w:r>
        <w:t xml:space="preserve">change. An alternative ABC-setting rule may be preferred that stabilizes the advice while</w:t>
      </w:r>
      <w:r>
        <w:t xml:space="preserve"> </w:t>
      </w:r>
      <w:r>
        <w:t xml:space="preserve">adhering to the NS1 guidelines.</w:t>
      </w:r>
    </w:p>
    <w:tbl>
      <w:tblPr>
        <w:tblStyle w:val="Table"/>
        <w:tblW w:type="pct" w:w="5000"/>
        <w:tblLayout w:type="fixed"/>
        <w:tblLook w:firstRow="0" w:lastRow="0" w:firstColumn="0" w:lastColumn="0" w:noHBand="0" w:noVBand="0" w:val="0000"/>
      </w:tblPr>
      <w:tblGrid>
        <w:gridCol w:w="7920"/>
      </w:tblGrid>
      <w:tr>
        <w:tc>
          <w:tcPr/>
          <w:bookmarkStart w:id="140" w:name="fig-srrplot_cond"/>
          <w:p>
            <w:pPr>
              <w:pStyle w:val="Compact"/>
              <w:jc w:val="center"/>
            </w:pPr>
            <w:r>
              <w:drawing>
                <wp:inline>
                  <wp:extent cx="5334000" cy="6096000"/>
                  <wp:effectExtent b="0" l="0" r="0" t="0"/>
                  <wp:docPr descr="" title="" id="138" name="Picture"/>
                  <a:graphic>
                    <a:graphicData uri="http://schemas.openxmlformats.org/drawingml/2006/picture">
                      <pic:pic>
                        <pic:nvPicPr>
                          <pic:cNvPr descr="sept_files/figure-docx/fig-srrplot_cond-1.png" id="139" name="Picture"/>
                          <pic:cNvPicPr>
                            <a:picLocks noChangeArrowheads="1" noChangeAspect="1"/>
                          </pic:cNvPicPr>
                        </pic:nvPicPr>
                        <pic:blipFill>
                          <a:blip r:embed="rId137"/>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0"/>
        </w:tc>
      </w:tr>
    </w:tbl>
    <w:tbl>
      <w:tblPr>
        <w:tblStyle w:val="Table"/>
        <w:tblW w:type="pct" w:w="5000"/>
        <w:tblLayout w:type="fixed"/>
        <w:tblLook w:firstRow="0" w:lastRow="0" w:firstColumn="0" w:lastColumn="0" w:noHBand="0" w:noVBand="0" w:val="0000"/>
      </w:tblPr>
      <w:tblGrid>
        <w:gridCol w:w="7920"/>
      </w:tblGrid>
      <w:tr>
        <w:tc>
          <w:tcPr/>
          <w:bookmarkStart w:id="144" w:name="fig-srrplot_cond2"/>
          <w:p>
            <w:pPr>
              <w:pStyle w:val="Compact"/>
              <w:jc w:val="center"/>
            </w:pPr>
            <w:r>
              <w:drawing>
                <wp:inline>
                  <wp:extent cx="5334000" cy="4267200"/>
                  <wp:effectExtent b="0" l="0" r="0" t="0"/>
                  <wp:docPr descr="" title="" id="142" name="Picture"/>
                  <a:graphic>
                    <a:graphicData uri="http://schemas.openxmlformats.org/drawingml/2006/picture">
                      <pic:pic>
                        <pic:nvPicPr>
                          <pic:cNvPr descr="sept_files/figure-docx/fig-srrplot_cond2-1.png" id="143"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overlain with those conditioned on alternative Fmsy assumptions.</w:t>
            </w:r>
          </w:p>
          <w:bookmarkEnd w:id="144"/>
        </w:tc>
      </w:tr>
    </w:tbl>
    <w:bookmarkStart w:id="161"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relation to management advice</w:t>
      </w:r>
      <w:r>
        <w:t xml:space="preserve"> </w:t>
      </w:r>
      <w:r>
        <w:t xml:space="preserve">within the fisheries management plan (FMP) and Tier system, we considered pollock as a key</w:t>
      </w:r>
      <w:r>
        <w:t xml:space="preserve"> </w:t>
      </w:r>
      <w:r>
        <w:t xml:space="preserve">part of the forage base (say of 1-3 yr old pollock). A management goal with an explicit</w:t>
      </w:r>
      <w:r>
        <w:t xml:space="preserve"> </w:t>
      </w:r>
      <w:r>
        <w:t xml:space="preserve">consideration of ecosystem function might be to avoid low levels. For example, if the</w:t>
      </w:r>
      <w:r>
        <w:t xml:space="preserve"> </w:t>
      </w:r>
      <w:r>
        <w:t xml:space="preserve">forage base appeared to be close to say the lower 20th percentile from historical</w:t>
      </w:r>
      <w:r>
        <w:t xml:space="preserve"> </w:t>
      </w:r>
      <w:r>
        <w:t xml:space="preserve">estimates, then a management might include an adjustment that would occur then to avoid</w:t>
      </w:r>
      <w:r>
        <w:t xml:space="preserve"> </w:t>
      </w:r>
      <w:r>
        <w:t xml:space="preserve">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groups would be</w:t>
      </w:r>
      <w:r>
        <w:t xml:space="preserve"> </w:t>
      </w:r>
      <w:r>
        <w:t xml:space="preserve">limited. The historical abundance of the prey base compared to spawning biomass shows that</w:t>
      </w:r>
      <w:r>
        <w:t xml:space="preserve"> </w:t>
      </w:r>
      <w:r>
        <w:t xml:space="preserve">the relationship is poorly determined (</w:t>
      </w:r>
      <w:hyperlink w:anchor="fig-ssb_prey">
        <w:r>
          <w:rPr>
            <w:rStyle w:val="Hyperlink"/>
          </w:rPr>
          <w:t xml:space="preserve">Figure 29</w:t>
        </w:r>
      </w:hyperlink>
      <w:r>
        <w:t xml:space="preserve">). However, the forage component does</w:t>
      </w:r>
      <w:r>
        <w:t xml:space="preserve"> </w:t>
      </w:r>
      <w:r>
        <w:t xml:space="preserve">tend to decline at lower spawning biomass levels. This suggests that the practice of</w:t>
      </w:r>
      <w:r>
        <w:t xml:space="preserve"> </w:t>
      </w:r>
      <w:r>
        <w:t xml:space="preserve">conserving spawning biomass may be linked to downstream impacts of the main 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w:t>
      </w:r>
      <w:r>
        <w:t xml:space="preserve"> </w:t>
      </w:r>
      <w:r>
        <w:t xml:space="preserve">catches that could be more reflective of objectives related specifically to pollock within</w:t>
      </w:r>
      <w:r>
        <w:t xml:space="preserve"> </w:t>
      </w:r>
      <w:r>
        <w:t xml:space="preserve">the ecosystem (compared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 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w:t>
      </w:r>
      <w:r>
        <w:t xml:space="preserve"> </w:t>
      </w:r>
      <w:r>
        <w:t xml:space="preserve">This advice is intended to focus on the conservation goal of maintaining spawning</w:t>
      </w:r>
      <w:r>
        <w:t xml:space="preserve"> </w:t>
      </w:r>
      <w:r>
        <w:t xml:space="preserve">biomass and provide ecosystem stability–similar to the over-arching principle of the 2 Mt</w:t>
      </w:r>
      <w:r>
        <w:t xml:space="preserve"> </w:t>
      </w:r>
      <w:r>
        <w:t xml:space="preserve">catch limit for the BSAI region.</w:t>
      </w:r>
    </w:p>
    <w:p>
      <w:pPr>
        <w:pStyle w:val="BodyText"/>
      </w:pPr>
      <w:r>
        <w:t xml:space="preserve">Too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48" w:name="fig-quant_prey"/>
          <w:p>
            <w:pPr>
              <w:pStyle w:val="Compact"/>
              <w:jc w:val="center"/>
            </w:pPr>
            <w:r>
              <w:drawing>
                <wp:inline>
                  <wp:extent cx="5334000" cy="4267200"/>
                  <wp:effectExtent b="0" l="0" r="0" t="0"/>
                  <wp:docPr descr="" title="" id="146" name="Picture"/>
                  <a:graphic>
                    <a:graphicData uri="http://schemas.openxmlformats.org/drawingml/2006/picture">
                      <pic:pic>
                        <pic:nvPicPr>
                          <pic:cNvPr descr="sept_files/figure-docx/fig-quant_prey-1.png" id="147"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48"/>
        </w:tc>
      </w:tr>
    </w:tbl>
    <w:tbl>
      <w:tblPr>
        <w:tblStyle w:val="Table"/>
        <w:tblW w:type="pct" w:w="5000"/>
        <w:tblLayout w:type="fixed"/>
        <w:tblLook w:firstRow="0" w:lastRow="0" w:firstColumn="0" w:lastColumn="0" w:noHBand="0" w:noVBand="0" w:val="0000"/>
      </w:tblPr>
      <w:tblGrid>
        <w:gridCol w:w="7920"/>
      </w:tblGrid>
      <w:tr>
        <w:tc>
          <w:tcPr/>
          <w:bookmarkStart w:id="152" w:name="fig-ssb_prey"/>
          <w:p>
            <w:pPr>
              <w:pStyle w:val="Compact"/>
              <w:jc w:val="center"/>
            </w:pPr>
            <w:r>
              <w:drawing>
                <wp:inline>
                  <wp:extent cx="5334000" cy="4267200"/>
                  <wp:effectExtent b="0" l="0" r="0" t="0"/>
                  <wp:docPr descr="" title="" id="150" name="Picture"/>
                  <a:graphic>
                    <a:graphicData uri="http://schemas.openxmlformats.org/drawingml/2006/picture">
                      <pic:pic>
                        <pic:nvPicPr>
                          <pic:cNvPr descr="sept_files/figure-docx/fig-ssb_prey-1.png" id="151"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2"/>
        </w:tc>
      </w:tr>
    </w:tbl>
    <w:tbl>
      <w:tblPr>
        <w:tblStyle w:val="Table"/>
        <w:tblW w:type="pct" w:w="5000"/>
        <w:tblLayout w:type="fixed"/>
        <w:tblLook w:firstRow="0" w:lastRow="0" w:firstColumn="0" w:lastColumn="0" w:noHBand="0" w:noVBand="0" w:val="0000"/>
      </w:tblPr>
      <w:tblGrid>
        <w:gridCol w:w="7920"/>
      </w:tblGrid>
      <w:tr>
        <w:tc>
          <w:tcPr/>
          <w:bookmarkStart w:id="156" w:name="fig-ssb_hist"/>
          <w:p>
            <w:pPr>
              <w:pStyle w:val="Compact"/>
              <w:jc w:val="center"/>
            </w:pPr>
            <w:r>
              <w:drawing>
                <wp:inline>
                  <wp:extent cx="5334000" cy="4267200"/>
                  <wp:effectExtent b="0" l="0" r="0" t="0"/>
                  <wp:docPr descr="" title="" id="154" name="Picture"/>
                  <a:graphic>
                    <a:graphicData uri="http://schemas.openxmlformats.org/drawingml/2006/picture">
                      <pic:pic>
                        <pic:nvPicPr>
                          <pic:cNvPr descr="sept_files/figure-docx/fig-ssb_hist-1.png" id="155"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6"/>
        </w:tc>
      </w:tr>
    </w:tbl>
    <w:tbl>
      <w:tblPr>
        <w:tblStyle w:val="Table"/>
        <w:tblW w:type="pct" w:w="5000"/>
        <w:tblLayout w:type="fixed"/>
        <w:tblLook w:firstRow="0" w:lastRow="0" w:firstColumn="0" w:lastColumn="0" w:noHBand="0" w:noVBand="0" w:val="0000"/>
      </w:tblPr>
      <w:tblGrid>
        <w:gridCol w:w="7920"/>
      </w:tblGrid>
      <w:tr>
        <w:tc>
          <w:tcPr/>
          <w:bookmarkStart w:id="160" w:name="fig-mp_hist"/>
          <w:p>
            <w:pPr>
              <w:pStyle w:val="Compact"/>
              <w:jc w:val="center"/>
            </w:pPr>
            <w:r>
              <w:drawing>
                <wp:inline>
                  <wp:extent cx="5334000" cy="4267200"/>
                  <wp:effectExtent b="0" l="0" r="0" t="0"/>
                  <wp:docPr descr="" title="" id="158" name="Picture"/>
                  <a:graphic>
                    <a:graphicData uri="http://schemas.openxmlformats.org/drawingml/2006/picture">
                      <pic:pic>
                        <pic:nvPicPr>
                          <pic:cNvPr descr="sept_files/figure-docx/fig-mp_hist-1.png" id="159"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spawning biomass projections (SSB.projected) compared to the actual catch (as a function of historical ABCs and TACs). A single value for responsiveness was used (</w:t>
            </w:r>
            <m:oMath>
              <m:r>
                <m:rPr>
                  <m:sty m:val="p"/>
                </m:rPr>
                <m:t>/</m:t>
              </m:r>
              <m:r>
                <m:t>l</m:t>
              </m:r>
              <m:r>
                <m:t>a</m:t>
              </m:r>
              <m:r>
                <m:t>m</m:t>
              </m:r>
              <m:r>
                <m:t>b</m:t>
              </m:r>
              <m:r>
                <m:t>d</m:t>
              </m:r>
              <m:r>
                <m:t>a</m:t>
              </m:r>
            </m:oMath>
            <w:r>
              <w:t xml:space="preserve">=0.5).</w:t>
            </w:r>
          </w:p>
          <w:bookmarkEnd w:id="160"/>
        </w:tc>
      </w:tr>
    </w:tbl>
    <w:bookmarkEnd w:id="161"/>
    <w:bookmarkEnd w:id="162"/>
    <w:bookmarkStart w:id="172"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r>
          <m:rPr>
            <m:sty m:val="p"/>
          </m:rPr>
          <m:t>̂</m:t>
        </m:r>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w:t>
      </w:r>
    </w:p>
    <w:bookmarkStart w:id="171"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Investigations on how to produce</w:t>
      </w:r>
      <w:r>
        <w:t xml:space="preserve"> </w:t>
      </w:r>
      <w:r>
        <w:t xml:space="preserve">standard figures we highlight those as follows.</w:t>
      </w:r>
    </w:p>
    <w:p>
      <w:pPr>
        <w:pStyle w:val="BodyText"/>
      </w:pPr>
      <w:r>
        <w:t xml:space="preserve">Process error variances can be estimated jointly with random effects and other parameters</w:t>
      </w:r>
      <w:r>
        <w:t xml:space="preserve"> </w:t>
      </w:r>
      <w:r>
        <w:t xml:space="preserve">when desired, and should be for important model components.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Next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the predictive samples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includes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the relationship of the slowest mixing parameters. The result</w:t>
      </w:r>
      <w:r>
        <w:t xml:space="preserve"> </w:t>
      </w:r>
      <w:r>
        <w:t xml:space="preserve">from sampling showed that for the 1340 parameters, there was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6" w:name="fig-bayesdiag1"/>
          <w:p>
            <w:pPr>
              <w:pStyle w:val="Compact"/>
              <w:jc w:val="center"/>
            </w:pPr>
            <w:r>
              <w:drawing>
                <wp:inline>
                  <wp:extent cx="5334000" cy="5334000"/>
                  <wp:effectExtent b="0" l="0" r="0" t="0"/>
                  <wp:docPr descr="" title="" id="164" name="Picture"/>
                  <a:graphic>
                    <a:graphicData uri="http://schemas.openxmlformats.org/drawingml/2006/picture">
                      <pic:pic>
                        <pic:nvPicPr>
                          <pic:cNvPr descr="../doc/figs/bayes_sample.png" id="165"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w:t>
            </w:r>
          </w:p>
          <w:bookmarkEnd w:id="166"/>
        </w:tc>
      </w:tr>
    </w:tbl>
    <w:tbl>
      <w:tblPr>
        <w:tblStyle w:val="Table"/>
        <w:tblW w:type="pct" w:w="5000"/>
        <w:tblLayout w:type="fixed"/>
        <w:tblLook w:firstRow="0" w:lastRow="0" w:firstColumn="0" w:lastColumn="0" w:noHBand="0" w:noVBand="0" w:val="0000"/>
      </w:tblPr>
      <w:tblGrid>
        <w:gridCol w:w="7920"/>
      </w:tblGrid>
      <w:tr>
        <w:tc>
          <w:tcPr/>
          <w:bookmarkStart w:id="170" w:name="fig-bayesdiag2"/>
          <w:p>
            <w:pPr>
              <w:pStyle w:val="Compact"/>
              <w:jc w:val="center"/>
            </w:pPr>
            <w:r>
              <w:drawing>
                <wp:inline>
                  <wp:extent cx="5334000" cy="5425179"/>
                  <wp:effectExtent b="0" l="0" r="0" t="0"/>
                  <wp:docPr descr="" title="" id="168" name="Picture"/>
                  <a:graphic>
                    <a:graphicData uri="http://schemas.openxmlformats.org/drawingml/2006/picture">
                      <pic:pic>
                        <pic:nvPicPr>
                          <pic:cNvPr descr="../doc/figs/slowmix.png" id="169" name="Picture"/>
                          <pic:cNvPicPr>
                            <a:picLocks noChangeArrowheads="1" noChangeAspect="1"/>
                          </pic:cNvPicPr>
                        </pic:nvPicPr>
                        <pic:blipFill>
                          <a:blip r:embed="rId167"/>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Diagnostic output showing the slow mixing parameters of the 2023 EBS pollock model posterior sampling.</w:t>
            </w:r>
          </w:p>
          <w:bookmarkEnd w:id="170"/>
        </w:tc>
      </w:tr>
    </w:tbl>
    <w:bookmarkEnd w:id="171"/>
    <w:bookmarkEnd w:id="172"/>
    <w:bookmarkStart w:id="229"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3">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0"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presentations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selmain"/>
          <w:p>
            <w:pPr>
              <w:pStyle w:val="Compact"/>
              <w:jc w:val="center"/>
            </w:pPr>
            <w:r>
              <w:drawing>
                <wp:inline>
                  <wp:extent cx="5334000" cy="4267200"/>
                  <wp:effectExtent b="0" l="0" r="0" t="0"/>
                  <wp:docPr descr="" title="" id="175" name="Picture"/>
                  <a:graphic>
                    <a:graphicData uri="http://schemas.openxmlformats.org/drawingml/2006/picture">
                      <pic:pic>
                        <pic:nvPicPr>
                          <pic:cNvPr descr="sept_files/figure-docx/fig-selmain-1.png" id="176"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7"/>
        </w:tc>
      </w:tr>
    </w:tbl>
    <w:tbl>
      <w:tblPr>
        <w:tblStyle w:val="Table"/>
        <w:tblW w:type="pct" w:w="5000"/>
        <w:tblLayout w:type="fixed"/>
        <w:tblLook w:firstRow="0" w:lastRow="0" w:firstColumn="0" w:lastColumn="0" w:noHBand="0" w:noVBand="0" w:val="0000"/>
      </w:tblPr>
      <w:tblGrid>
        <w:gridCol w:w="7920"/>
      </w:tblGrid>
      <w:tr>
        <w:tc>
          <w:tcPr/>
          <w:bookmarkStart w:id="181" w:name="fig-selmainage"/>
          <w:p>
            <w:pPr>
              <w:pStyle w:val="Compact"/>
              <w:jc w:val="center"/>
            </w:pPr>
            <w:r>
              <w:drawing>
                <wp:inline>
                  <wp:extent cx="5334000" cy="4213860"/>
                  <wp:effectExtent b="0" l="0" r="0" t="0"/>
                  <wp:docPr descr="" title="" id="179" name="Picture"/>
                  <a:graphic>
                    <a:graphicData uri="http://schemas.openxmlformats.org/drawingml/2006/picture">
                      <pic:pic>
                        <pic:nvPicPr>
                          <pic:cNvPr descr="sept_files/figure-docx/fig-selmainage-1.png" id="180" name="Picture"/>
                          <pic:cNvPicPr>
                            <a:picLocks noChangeArrowheads="1" noChangeAspect="1"/>
                          </pic:cNvPicPr>
                        </pic:nvPicPr>
                        <pic:blipFill>
                          <a:blip r:embed="rId17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1"/>
        </w:tc>
      </w:tr>
    </w:tbl>
    <w:tbl>
      <w:tblPr>
        <w:tblStyle w:val="Table"/>
        <w:tblW w:type="pct" w:w="5000"/>
        <w:tblLayout w:type="fixed"/>
        <w:tblLook w:firstRow="0" w:lastRow="0" w:firstColumn="0" w:lastColumn="0" w:noHBand="0" w:noVBand="0" w:val="0000"/>
      </w:tblPr>
      <w:tblGrid>
        <w:gridCol w:w="7920"/>
      </w:tblGrid>
      <w:tr>
        <w:tc>
          <w:tcPr/>
          <w:bookmarkStart w:id="185" w:name="fig-ssbplatform"/>
          <w:p>
            <w:pPr>
              <w:pStyle w:val="Compact"/>
              <w:jc w:val="center"/>
            </w:pPr>
            <w:r>
              <w:drawing>
                <wp:inline>
                  <wp:extent cx="5334000" cy="4213860"/>
                  <wp:effectExtent b="0" l="0" r="0" t="0"/>
                  <wp:docPr descr="" title="" id="183" name="Picture"/>
                  <a:graphic>
                    <a:graphicData uri="http://schemas.openxmlformats.org/drawingml/2006/picture">
                      <pic:pic>
                        <pic:nvPicPr>
                          <pic:cNvPr descr="sept_files/figure-docx/fig-ssbplatform-1.png" id="184" name="Picture"/>
                          <pic:cNvPicPr>
                            <a:picLocks noChangeArrowheads="1" noChangeAspect="1"/>
                          </pic:cNvPicPr>
                        </pic:nvPicPr>
                        <pic:blipFill>
                          <a:blip r:embed="rId182"/>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5"/>
        </w:tc>
      </w:tr>
    </w:tbl>
    <w:tbl>
      <w:tblPr>
        <w:tblStyle w:val="Table"/>
        <w:tblW w:type="pct" w:w="5000"/>
        <w:tblLayout w:type="fixed"/>
        <w:tblLook w:firstRow="0" w:lastRow="0" w:firstColumn="0" w:lastColumn="0" w:noHBand="0" w:noVBand="0" w:val="0000"/>
      </w:tblPr>
      <w:tblGrid>
        <w:gridCol w:w="7920"/>
      </w:tblGrid>
      <w:tr>
        <w:tc>
          <w:tcPr/>
          <w:bookmarkStart w:id="189" w:name="fig-srrplatform"/>
          <w:p>
            <w:pPr>
              <w:pStyle w:val="Compact"/>
              <w:jc w:val="center"/>
            </w:pPr>
            <w:r>
              <w:drawing>
                <wp:inline>
                  <wp:extent cx="5334000" cy="4213860"/>
                  <wp:effectExtent b="0" l="0" r="0" t="0"/>
                  <wp:docPr descr="" title="" id="187" name="Picture"/>
                  <a:graphic>
                    <a:graphicData uri="http://schemas.openxmlformats.org/drawingml/2006/picture">
                      <pic:pic>
                        <pic:nvPicPr>
                          <pic:cNvPr descr="sept_files/figure-docx/fig-srrplatform-1.png" id="188" name="Picture"/>
                          <pic:cNvPicPr>
                            <a:picLocks noChangeArrowheads="1" noChangeAspect="1"/>
                          </pic:cNvPicPr>
                        </pic:nvPicPr>
                        <pic:blipFill>
                          <a:blip r:embed="rId18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89"/>
        </w:tc>
      </w:tr>
    </w:tbl>
    <w:bookmarkEnd w:id="190"/>
    <w:bookmarkStart w:id="215" w:name="additional-amak-runs"/>
    <w:p>
      <w:pPr>
        <w:pStyle w:val="Heading2"/>
      </w:pPr>
      <w:r>
        <w:t xml:space="preserve">Additional AMAK runs</w:t>
      </w:r>
    </w:p>
    <w:p>
      <w:pPr>
        <w:pStyle w:val="FirstParagraph"/>
      </w:pPr>
      <w:r>
        <w:t xml:space="preserve">In an attempt to get different platforms closer to eachother,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parameterizations:</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NLL Component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base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dbl_logistic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cpue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catch_like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age_like_fsh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length_like_fsh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sel_like_fsh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ind_like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age_like_ind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length_like_ind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sel_like_ind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rec_like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fpen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post_priors_indq</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post_priors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r>
    </w:tbl>
    <w:tbl>
      <w:tblPr>
        <w:tblStyle w:val="Table"/>
        <w:tblW w:type="pct" w:w="5000"/>
        <w:tblLayout w:type="fixed"/>
        <w:tblLook w:firstRow="0" w:lastRow="0" w:firstColumn="0" w:lastColumn="0" w:noHBand="0" w:noVBand="0" w:val="0000"/>
      </w:tblPr>
      <w:tblGrid>
        <w:gridCol w:w="7920"/>
      </w:tblGrid>
      <w:tr>
        <w:tc>
          <w:tcPr/>
          <w:bookmarkStart w:id="194" w:name="fig-sel_amak"/>
          <w:p>
            <w:pPr>
              <w:pStyle w:val="Compact"/>
              <w:jc w:val="center"/>
            </w:pPr>
            <w:r>
              <w:drawing>
                <wp:inline>
                  <wp:extent cx="5334000" cy="4267200"/>
                  <wp:effectExtent b="0" l="0" r="0" t="0"/>
                  <wp:docPr descr="" title="" id="192" name="Picture"/>
                  <a:graphic>
                    <a:graphicData uri="http://schemas.openxmlformats.org/drawingml/2006/picture">
                      <pic:pic>
                        <pic:nvPicPr>
                          <pic:cNvPr descr="sept_files/figure-docx/fig-sel_amak-1.png" id="193"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4"/>
        </w:tc>
      </w:tr>
    </w:tbl>
    <w:tbl>
      <w:tblPr>
        <w:tblStyle w:val="Table"/>
        <w:tblW w:type="pct" w:w="5000"/>
        <w:tblLayout w:type="fixed"/>
        <w:tblLook w:firstRow="0" w:lastRow="0" w:firstColumn="0" w:lastColumn="0" w:noHBand="0" w:noVBand="0" w:val="0000"/>
      </w:tblPr>
      <w:tblGrid>
        <w:gridCol w:w="7920"/>
      </w:tblGrid>
      <w:tr>
        <w:tc>
          <w:tcPr/>
          <w:bookmarkStart w:id="198" w:name="fig-sel_age_amak"/>
          <w:p>
            <w:pPr>
              <w:pStyle w:val="Compact"/>
              <w:jc w:val="center"/>
            </w:pPr>
            <w:r>
              <w:drawing>
                <wp:inline>
                  <wp:extent cx="5334000" cy="4213860"/>
                  <wp:effectExtent b="0" l="0" r="0" t="0"/>
                  <wp:docPr descr="" title="" id="196" name="Picture"/>
                  <a:graphic>
                    <a:graphicData uri="http://schemas.openxmlformats.org/drawingml/2006/picture">
                      <pic:pic>
                        <pic:nvPicPr>
                          <pic:cNvPr descr="sept_files/figure-docx/fig-sel_age_amak-1.png" id="197" name="Picture"/>
                          <pic:cNvPicPr>
                            <a:picLocks noChangeArrowheads="1" noChangeAspect="1"/>
                          </pic:cNvPicPr>
                        </pic:nvPicPr>
                        <pic:blipFill>
                          <a:blip r:embed="rId19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198"/>
        </w:tc>
      </w:tr>
    </w:tbl>
    <w:tbl>
      <w:tblPr>
        <w:tblStyle w:val="Table"/>
        <w:tblW w:type="pct" w:w="5000"/>
        <w:tblLayout w:type="fixed"/>
        <w:tblLook w:firstRow="0" w:lastRow="0" w:firstColumn="0" w:lastColumn="0" w:noHBand="0" w:noVBand="0" w:val="0000"/>
      </w:tblPr>
      <w:tblGrid>
        <w:gridCol w:w="7920"/>
      </w:tblGrid>
      <w:tr>
        <w:tc>
          <w:tcPr/>
          <w:bookmarkStart w:id="202" w:name="fig-ssb_amak"/>
          <w:p>
            <w:pPr>
              <w:pStyle w:val="Compact"/>
              <w:jc w:val="center"/>
            </w:pPr>
            <w:r>
              <w:drawing>
                <wp:inline>
                  <wp:extent cx="5334000" cy="4213860"/>
                  <wp:effectExtent b="0" l="0" r="0" t="0"/>
                  <wp:docPr descr="" title="" id="200" name="Picture"/>
                  <a:graphic>
                    <a:graphicData uri="http://schemas.openxmlformats.org/drawingml/2006/picture">
                      <pic:pic>
                        <pic:nvPicPr>
                          <pic:cNvPr descr="sept_files/figure-docx/fig-ssb_amak-1.png" id="201" name="Picture"/>
                          <pic:cNvPicPr>
                            <a:picLocks noChangeArrowheads="1" noChangeAspect="1"/>
                          </pic:cNvPicPr>
                        </pic:nvPicPr>
                        <pic:blipFill>
                          <a:blip r:embed="rId19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2"/>
        </w:tc>
      </w:tr>
    </w:tbl>
    <w:tbl>
      <w:tblPr>
        <w:tblStyle w:val="Table"/>
        <w:tblW w:type="pct" w:w="5000"/>
        <w:tblLayout w:type="fixed"/>
        <w:tblLook w:firstRow="0" w:lastRow="0" w:firstColumn="0" w:lastColumn="0" w:noHBand="0" w:noVBand="0" w:val="0000"/>
      </w:tblPr>
      <w:tblGrid>
        <w:gridCol w:w="7920"/>
      </w:tblGrid>
      <w:tr>
        <w:tc>
          <w:tcPr/>
          <w:bookmarkStart w:id="206" w:name="fig-ind_fit"/>
          <w:p>
            <w:pPr>
              <w:pStyle w:val="Compact"/>
              <w:jc w:val="center"/>
            </w:pPr>
            <w:r>
              <w:drawing>
                <wp:inline>
                  <wp:extent cx="5334000" cy="4213860"/>
                  <wp:effectExtent b="0" l="0" r="0" t="0"/>
                  <wp:docPr descr="" title="" id="204" name="Picture"/>
                  <a:graphic>
                    <a:graphicData uri="http://schemas.openxmlformats.org/drawingml/2006/picture">
                      <pic:pic>
                        <pic:nvPicPr>
                          <pic:cNvPr descr="sept_files/figure-docx/fig-ind_fit-1.png" id="205" name="Picture"/>
                          <pic:cNvPicPr>
                            <a:picLocks noChangeArrowheads="1" noChangeAspect="1"/>
                          </pic:cNvPicPr>
                        </pic:nvPicPr>
                        <pic:blipFill>
                          <a:blip r:embed="rId203"/>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6"/>
        </w:tc>
      </w:tr>
    </w:tbl>
    <w:tbl>
      <w:tblPr>
        <w:tblStyle w:val="Table"/>
        <w:tblW w:type="pct" w:w="5000"/>
        <w:tblLayout w:type="fixed"/>
        <w:tblLook w:firstRow="0" w:lastRow="0" w:firstColumn="0" w:lastColumn="0" w:noHBand="0" w:noVBand="0" w:val="0000"/>
      </w:tblPr>
      <w:tblGrid>
        <w:gridCol w:w="7920"/>
      </w:tblGrid>
      <w:tr>
        <w:tc>
          <w:tcPr/>
          <w:bookmarkStart w:id="210" w:name="fig-ind_fit2"/>
          <w:p>
            <w:pPr>
              <w:pStyle w:val="Compact"/>
              <w:jc w:val="center"/>
            </w:pPr>
            <w:r>
              <w:drawing>
                <wp:inline>
                  <wp:extent cx="5334000" cy="4267200"/>
                  <wp:effectExtent b="0" l="0" r="0" t="0"/>
                  <wp:docPr descr="" title="" id="208" name="Picture"/>
                  <a:graphic>
                    <a:graphicData uri="http://schemas.openxmlformats.org/drawingml/2006/picture">
                      <pic:pic>
                        <pic:nvPicPr>
                          <pic:cNvPr descr="sept_files/figure-docx/fig-ind_fit2-1.png" id="209"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0"/>
        </w:tc>
      </w:tr>
    </w:tbl>
    <w:tbl>
      <w:tblPr>
        <w:tblStyle w:val="Table"/>
        <w:tblW w:type="pct" w:w="5000"/>
        <w:tblLayout w:type="fixed"/>
        <w:tblLook w:firstRow="0" w:lastRow="0" w:firstColumn="0" w:lastColumn="0" w:noHBand="0" w:noVBand="0" w:val="0000"/>
      </w:tblPr>
      <w:tblGrid>
        <w:gridCol w:w="7920"/>
      </w:tblGrid>
      <w:tr>
        <w:tc>
          <w:tcPr/>
          <w:bookmarkStart w:id="214" w:name="fig-srr_amak"/>
          <w:p>
            <w:pPr>
              <w:pStyle w:val="Compact"/>
              <w:jc w:val="center"/>
            </w:pPr>
            <w:r>
              <w:drawing>
                <wp:inline>
                  <wp:extent cx="5334000" cy="4267200"/>
                  <wp:effectExtent b="0" l="0" r="0" t="0"/>
                  <wp:docPr descr="" title="" id="212" name="Picture"/>
                  <a:graphic>
                    <a:graphicData uri="http://schemas.openxmlformats.org/drawingml/2006/picture">
                      <pic:pic>
                        <pic:nvPicPr>
                          <pic:cNvPr descr="sept_files/figure-docx/fig-srr_amak-1.png" id="213"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4"/>
        </w:tc>
      </w:tr>
    </w:tbl>
    <w:bookmarkEnd w:id="215"/>
    <w:bookmarkStart w:id="228" w:name="additional-ss3-runs"/>
    <w:p>
      <w:pPr>
        <w:pStyle w:val="Heading2"/>
      </w:pPr>
      <w:r>
        <w:t xml:space="preserve">Additional SS3 runs</w:t>
      </w:r>
    </w:p>
    <w:bookmarkStart w:id="219"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7" name="Picture"/>
            <a:graphic>
              <a:graphicData uri="http://schemas.openxmlformats.org/drawingml/2006/picture">
                <pic:pic>
                  <pic:nvPicPr>
                    <pic:cNvPr descr="sept_files/figure-docx/unnamed-chunk-1-1.png" id="218"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bookmarkEnd w:id="219"/>
    <w:bookmarkStart w:id="223" w:name="selectivity-at-age"/>
    <w:p>
      <w:pPr>
        <w:pStyle w:val="Heading3"/>
      </w:pPr>
      <w:r>
        <w:t xml:space="preserve">Selectivity at age</w:t>
      </w:r>
    </w:p>
    <w:p>
      <w:pPr>
        <w:pStyle w:val="FirstParagraph"/>
      </w:pPr>
      <w:r>
        <w:drawing>
          <wp:inline>
            <wp:extent cx="5334000" cy="4213860"/>
            <wp:effectExtent b="0" l="0" r="0" t="0"/>
            <wp:docPr descr="" title="" id="221" name="Picture"/>
            <a:graphic>
              <a:graphicData uri="http://schemas.openxmlformats.org/drawingml/2006/picture">
                <pic:pic>
                  <pic:nvPicPr>
                    <pic:cNvPr descr="sept_files/figure-docx/unnamed-chunk-2-1.png" id="222" name="Picture"/>
                    <pic:cNvPicPr>
                      <a:picLocks noChangeArrowheads="1" noChangeAspect="1"/>
                    </pic:cNvPicPr>
                  </pic:nvPicPr>
                  <pic:blipFill>
                    <a:blip r:embed="rId220"/>
                    <a:stretch>
                      <a:fillRect/>
                    </a:stretch>
                  </pic:blipFill>
                  <pic:spPr bwMode="auto">
                    <a:xfrm>
                      <a:off x="0" y="0"/>
                      <a:ext cx="5334000" cy="4213860"/>
                    </a:xfrm>
                    <a:prstGeom prst="rect">
                      <a:avLst/>
                    </a:prstGeom>
                    <a:noFill/>
                    <a:ln w="9525">
                      <a:noFill/>
                      <a:headEnd/>
                      <a:tailEnd/>
                    </a:ln>
                  </pic:spPr>
                </pic:pic>
              </a:graphicData>
            </a:graphic>
          </wp:inline>
        </w:drawing>
      </w:r>
    </w:p>
    <w:bookmarkEnd w:id="223"/>
    <w:bookmarkStart w:id="227" w:name="ssb-and-recruitment"/>
    <w:p>
      <w:pPr>
        <w:pStyle w:val="Heading3"/>
      </w:pPr>
      <w:r>
        <w:t xml:space="preserve">SSB and recruitment</w:t>
      </w:r>
    </w:p>
    <w:p>
      <w:pPr>
        <w:pStyle w:val="FirstParagraph"/>
      </w:pPr>
      <w:r>
        <w:drawing>
          <wp:inline>
            <wp:extent cx="5334000" cy="4213860"/>
            <wp:effectExtent b="0" l="0" r="0" t="0"/>
            <wp:docPr descr="" title="" id="225" name="Picture"/>
            <a:graphic>
              <a:graphicData uri="http://schemas.openxmlformats.org/drawingml/2006/picture">
                <pic:pic>
                  <pic:nvPicPr>
                    <pic:cNvPr descr="sept_files/figure-docx/unnamed-chunk-3-1.png" id="226" name="Picture"/>
                    <pic:cNvPicPr>
                      <a:picLocks noChangeArrowheads="1" noChangeAspect="1"/>
                    </pic:cNvPicPr>
                  </pic:nvPicPr>
                  <pic:blipFill>
                    <a:blip r:embed="rId224"/>
                    <a:stretch>
                      <a:fillRect/>
                    </a:stretch>
                  </pic:blipFill>
                  <pic:spPr bwMode="auto">
                    <a:xfrm>
                      <a:off x="0" y="0"/>
                      <a:ext cx="5334000" cy="4213860"/>
                    </a:xfrm>
                    <a:prstGeom prst="rect">
                      <a:avLst/>
                    </a:prstGeom>
                    <a:noFill/>
                    <a:ln w="9525">
                      <a:noFill/>
                      <a:headEnd/>
                      <a:tailEnd/>
                    </a:ln>
                  </pic:spPr>
                </pic:pic>
              </a:graphicData>
            </a:graphic>
          </wp:inline>
        </w:drawing>
      </w:r>
    </w:p>
    <w:bookmarkEnd w:id="227"/>
    <w:bookmarkEnd w:id="228"/>
    <w:bookmarkEnd w:id="229"/>
    <w:bookmarkStart w:id="243" w:name="references"/>
    <w:p>
      <w:pPr>
        <w:pStyle w:val="Heading1"/>
      </w:pPr>
      <w:r>
        <w:t xml:space="preserve">References</w:t>
      </w:r>
    </w:p>
    <w:bookmarkStart w:id="242" w:name="refs"/>
    <w:bookmarkStart w:id="231"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0">
        <w:r>
          <w:rPr>
            <w:rStyle w:val="Hyperlink"/>
          </w:rPr>
          <w:t xml:space="preserve">https://github.com/NOAA-EDAB/Rpath</w:t>
        </w:r>
      </w:hyperlink>
      <w:r>
        <w:t xml:space="preserve">.</w:t>
      </w:r>
    </w:p>
    <w:bookmarkEnd w:id="231"/>
    <w:bookmarkStart w:id="233"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2">
        <w:r>
          <w:rPr>
            <w:rStyle w:val="Hyperlink"/>
          </w:rPr>
          <w:t xml:space="preserve">https://doi.org/10.1093/icesjms/fsae071</w:t>
        </w:r>
      </w:hyperlink>
      <w:r>
        <w:t xml:space="preserve">.</w:t>
      </w:r>
    </w:p>
    <w:bookmarkEnd w:id="233"/>
    <w:bookmarkStart w:id="235"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4">
        <w:r>
          <w:rPr>
            <w:rStyle w:val="Hyperlink"/>
          </w:rPr>
          <w:t xml:space="preserve">https://apps-afsc.fisheries.noaa.gov/Publications/ProcRpt/PR1983-02.pdf</w:t>
        </w:r>
      </w:hyperlink>
      <w:r>
        <w:t xml:space="preserve">.</w:t>
      </w:r>
    </w:p>
    <w:bookmarkEnd w:id="235"/>
    <w:bookmarkStart w:id="237"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6">
        <w:r>
          <w:rPr>
            <w:rStyle w:val="Hyperlink"/>
          </w:rPr>
          <w:t xml:space="preserve">https://doi.org/10.1016/j.fishres.2024.107024</w:t>
        </w:r>
      </w:hyperlink>
      <w:r>
        <w:t xml:space="preserve">.</w:t>
      </w:r>
    </w:p>
    <w:bookmarkEnd w:id="237"/>
    <w:bookmarkStart w:id="239"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38">
        <w:r>
          <w:rPr>
            <w:rStyle w:val="Hyperlink"/>
          </w:rPr>
          <w:t xml:space="preserve">https://doi.org/10.1111/1365-2664.13515</w:t>
        </w:r>
      </w:hyperlink>
      <w:r>
        <w:t xml:space="preserve">.</w:t>
      </w:r>
    </w:p>
    <w:bookmarkEnd w:id="239"/>
    <w:bookmarkStart w:id="241"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0">
        <w:r>
          <w:rPr>
            <w:rStyle w:val="Hyperlink"/>
          </w:rPr>
          <w:t xml:space="preserve">https://doi.org/10.1016/j.ecolmodel.2020.109074</w:t>
        </w:r>
      </w:hyperlink>
      <w:r>
        <w:t xml:space="preserve">.</w:t>
      </w:r>
    </w:p>
    <w:bookmarkEnd w:id="241"/>
    <w:bookmarkEnd w:id="242"/>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3" Target="media/rId163.png" /><Relationship Type="http://schemas.openxmlformats.org/officeDocument/2006/relationships/image" Id="rId38" Target="media/rId38.gif" /><Relationship Type="http://schemas.openxmlformats.org/officeDocument/2006/relationships/image" Id="rId167" Target="media/rId167.png" /><Relationship Type="http://schemas.openxmlformats.org/officeDocument/2006/relationships/image" Id="rId48" Target="media/rId48.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157" Target="media/rId157.png" /><Relationship Type="http://schemas.openxmlformats.org/officeDocument/2006/relationships/image" Id="rId145" Target="media/rId145.png" /><Relationship Type="http://schemas.openxmlformats.org/officeDocument/2006/relationships/image" Id="rId95" Target="media/rId95.png" /><Relationship Type="http://schemas.openxmlformats.org/officeDocument/2006/relationships/image" Id="rId195" Target="media/rId195.png" /><Relationship Type="http://schemas.openxmlformats.org/officeDocument/2006/relationships/image" Id="rId191" Target="media/rId191.png" /><Relationship Type="http://schemas.openxmlformats.org/officeDocument/2006/relationships/image" Id="rId79" Target="media/rId79.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99" Target="media/rId99.png"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211" Target="media/rId211.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6" Target="media/rId186.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99" Target="media/rId199.png" /><Relationship Type="http://schemas.openxmlformats.org/officeDocument/2006/relationships/image" Id="rId153" Target="media/rId153.png" /><Relationship Type="http://schemas.openxmlformats.org/officeDocument/2006/relationships/image" Id="rId149" Target="media/rId149.png" /><Relationship Type="http://schemas.openxmlformats.org/officeDocument/2006/relationships/image" Id="rId182" Target="media/rId182.png" /><Relationship Type="http://schemas.openxmlformats.org/officeDocument/2006/relationships/image" Id="rId34" Target="media/rId34.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hyperlink" Id="rId234" Target="https://apps-afsc.fisheries.noaa.gov/Publications/ProcRpt/PR1983-02.pdf" TargetMode="External" /><Relationship Type="http://schemas.openxmlformats.org/officeDocument/2006/relationships/hyperlink" Id="rId240" Target="https://doi.org/10.1016/j.ecolmodel.2020.109074" TargetMode="External" /><Relationship Type="http://schemas.openxmlformats.org/officeDocument/2006/relationships/hyperlink" Id="rId236" Target="https://doi.org/10.1016/j.fishres.2024.107024" TargetMode="External" /><Relationship Type="http://schemas.openxmlformats.org/officeDocument/2006/relationships/hyperlink" Id="rId232" Target="https://doi.org/10.1093/icesjms/fsae071" TargetMode="External" /><Relationship Type="http://schemas.openxmlformats.org/officeDocument/2006/relationships/hyperlink" Id="rId238" Target="https://doi.org/10.1111/1365-2664.13515" TargetMode="External" /><Relationship Type="http://schemas.openxmlformats.org/officeDocument/2006/relationships/hyperlink" Id="rId230" Target="https://github.com/NOAA-EDAB/Rpath" TargetMode="External" /><Relationship Type="http://schemas.openxmlformats.org/officeDocument/2006/relationships/hyperlink" Id="rId173"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4" Target="https://apps-afsc.fisheries.noaa.gov/Publications/ProcRpt/PR1983-02.pdf" TargetMode="External" /><Relationship Type="http://schemas.openxmlformats.org/officeDocument/2006/relationships/hyperlink" Id="rId240" Target="https://doi.org/10.1016/j.ecolmodel.2020.109074" TargetMode="External" /><Relationship Type="http://schemas.openxmlformats.org/officeDocument/2006/relationships/hyperlink" Id="rId236" Target="https://doi.org/10.1016/j.fishres.2024.107024" TargetMode="External" /><Relationship Type="http://schemas.openxmlformats.org/officeDocument/2006/relationships/hyperlink" Id="rId232" Target="https://doi.org/10.1093/icesjms/fsae071" TargetMode="External" /><Relationship Type="http://schemas.openxmlformats.org/officeDocument/2006/relationships/hyperlink" Id="rId238" Target="https://doi.org/10.1111/1365-2664.13515" TargetMode="External" /><Relationship Type="http://schemas.openxmlformats.org/officeDocument/2006/relationships/hyperlink" Id="rId230" Target="https://github.com/NOAA-EDAB/Rpath" TargetMode="External" /><Relationship Type="http://schemas.openxmlformats.org/officeDocument/2006/relationships/hyperlink" Id="rId173"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
  <cp:keywords/>
  <dcterms:created xsi:type="dcterms:W3CDTF">2024-09-10T20:31:27Z</dcterms:created>
  <dcterms:modified xsi:type="dcterms:W3CDTF">2024-09-10T20:31:27Z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editor">
    <vt:lpwstr/>
  </property>
  <property fmtid="{D5CDD505-2E9C-101B-9397-08002B2CF9AE}" pid="5" name="editor_options">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ghtbox">
    <vt:lpwstr>True</vt:lpwstr>
  </property>
  <property fmtid="{D5CDD505-2E9C-101B-9397-08002B2CF9AE}" pid="11" name="reference-docx">
    <vt:lpwstr>template.docx</vt:lpwstr>
  </property>
  <property fmtid="{D5CDD505-2E9C-101B-9397-08002B2CF9AE}" pid="12" name="subtitle">
    <vt:lpwstr>September 2024</vt:lpwstr>
  </property>
  <property fmtid="{D5CDD505-2E9C-101B-9397-08002B2CF9AE}" pid="13" name="toc-title">
    <vt:lpwstr>Table of contents</vt:lpwstr>
  </property>
</Properties>
</file>